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0357" w:rsidRDefault="001D0357" w:rsidP="001D0357">
      <w:pPr>
        <w:pStyle w:val="Default"/>
        <w:ind w:left="284" w:right="142"/>
        <w:jc w:val="center"/>
        <w:rPr>
          <w:b/>
          <w:bCs/>
          <w:color w:val="2736E9"/>
          <w:sz w:val="40"/>
          <w:szCs w:val="40"/>
        </w:rPr>
      </w:pPr>
      <w:bookmarkStart w:id="0" w:name="_GoBack"/>
      <w:r w:rsidRPr="00A93140">
        <w:rPr>
          <w:b/>
          <w:bCs/>
          <w:color w:val="2736E9"/>
          <w:sz w:val="40"/>
          <w:szCs w:val="40"/>
        </w:rPr>
        <w:t>Manuel de Procédure de Soumission de Demande pour l’octroi de budget</w:t>
      </w:r>
    </w:p>
    <w:bookmarkEnd w:id="0"/>
    <w:p w:rsidR="001D0357" w:rsidRPr="00A93140" w:rsidRDefault="001D0357" w:rsidP="001D0357">
      <w:pPr>
        <w:pStyle w:val="Default"/>
        <w:ind w:left="284" w:right="142"/>
        <w:jc w:val="center"/>
        <w:rPr>
          <w:b/>
          <w:bCs/>
          <w:color w:val="2736E9"/>
          <w:sz w:val="40"/>
          <w:szCs w:val="40"/>
        </w:rPr>
      </w:pPr>
    </w:p>
    <w:p w:rsidR="001D0357" w:rsidRPr="004159E8" w:rsidRDefault="001D0357" w:rsidP="001D0357">
      <w:pPr>
        <w:pStyle w:val="Default"/>
        <w:ind w:left="284" w:right="142"/>
        <w:jc w:val="center"/>
        <w:rPr>
          <w:i/>
          <w:iCs/>
        </w:rPr>
      </w:pPr>
    </w:p>
    <w:p w:rsidR="001D0357" w:rsidRDefault="001D0357" w:rsidP="001D0357">
      <w:pPr>
        <w:pStyle w:val="Default"/>
        <w:ind w:left="284" w:right="142"/>
        <w:jc w:val="both"/>
        <w:rPr>
          <w:sz w:val="28"/>
          <w:szCs w:val="28"/>
        </w:rPr>
      </w:pPr>
      <w:r>
        <w:rPr>
          <w:b/>
          <w:bCs/>
          <w:sz w:val="28"/>
          <w:szCs w:val="28"/>
        </w:rPr>
        <w:t xml:space="preserve">Destiné  aux laboratoires de recherche affiliés à l’ATRSS </w:t>
      </w:r>
    </w:p>
    <w:p w:rsidR="001D0357" w:rsidRDefault="001D0357" w:rsidP="001D0357">
      <w:pPr>
        <w:pStyle w:val="Default"/>
        <w:ind w:left="284" w:right="142"/>
        <w:jc w:val="both"/>
        <w:rPr>
          <w:sz w:val="23"/>
          <w:szCs w:val="23"/>
        </w:rPr>
      </w:pPr>
    </w:p>
    <w:p w:rsidR="001D0357" w:rsidRDefault="001D0357" w:rsidP="001D0357">
      <w:pPr>
        <w:pStyle w:val="Default"/>
        <w:ind w:left="284" w:right="142"/>
        <w:rPr>
          <w:sz w:val="23"/>
          <w:szCs w:val="23"/>
        </w:rPr>
      </w:pPr>
      <w:r>
        <w:rPr>
          <w:sz w:val="23"/>
          <w:szCs w:val="23"/>
        </w:rPr>
        <w:t xml:space="preserve">Dans la rubrique laboratoires du site WEB de l’ATRSS (www.atrss.dz), trois canevas sont disponibles : </w:t>
      </w:r>
    </w:p>
    <w:p w:rsidR="001D0357" w:rsidRDefault="001D0357" w:rsidP="001D0357">
      <w:pPr>
        <w:pStyle w:val="Default"/>
        <w:ind w:left="284" w:right="142"/>
        <w:rPr>
          <w:sz w:val="23"/>
          <w:szCs w:val="23"/>
        </w:rPr>
      </w:pPr>
    </w:p>
    <w:p w:rsidR="001D0357" w:rsidRDefault="00552AD6" w:rsidP="001D0357">
      <w:pPr>
        <w:pStyle w:val="TM1"/>
        <w:rPr>
          <w:rStyle w:val="Lienhypertexte"/>
        </w:rPr>
      </w:pPr>
      <w:r w:rsidRPr="00552AD6">
        <w:fldChar w:fldCharType="begin"/>
      </w:r>
      <w:r w:rsidR="001D0357" w:rsidRPr="00BD666A">
        <w:instrText xml:space="preserve"> TOC \h \z \t "caneva;1" </w:instrText>
      </w:r>
      <w:r w:rsidRPr="00552AD6">
        <w:fldChar w:fldCharType="separate"/>
      </w:r>
      <w:hyperlink w:anchor="_Toc431645" w:history="1">
        <w:r w:rsidR="001D0357" w:rsidRPr="00BD666A">
          <w:rPr>
            <w:rStyle w:val="Lienhypertexte"/>
            <w:sz w:val="24"/>
            <w:szCs w:val="24"/>
          </w:rPr>
          <w:t>CANEVAS DE DEMANDE DE BUDGET DE RECHERCHE PAR OBJECTIFS</w:t>
        </w:r>
      </w:hyperlink>
    </w:p>
    <w:p w:rsidR="001D0357" w:rsidRPr="00FE6C68" w:rsidRDefault="001D0357" w:rsidP="001D0357">
      <w:pPr>
        <w:ind w:right="142"/>
      </w:pPr>
    </w:p>
    <w:p w:rsidR="001D0357" w:rsidRPr="00BD666A" w:rsidRDefault="00552AD6" w:rsidP="001D0357">
      <w:pPr>
        <w:pStyle w:val="Default"/>
        <w:ind w:left="284" w:right="142"/>
        <w:jc w:val="center"/>
        <w:rPr>
          <w:rFonts w:asciiTheme="minorBidi" w:eastAsiaTheme="minorEastAsia" w:hAnsiTheme="minorBidi" w:cstheme="minorBidi"/>
          <w:b/>
          <w:bCs/>
          <w:noProof/>
          <w:color w:val="2736E9"/>
          <w:sz w:val="20"/>
          <w:szCs w:val="20"/>
          <w:lang w:eastAsia="fr-FR"/>
        </w:rPr>
      </w:pPr>
      <w:r w:rsidRPr="00BD666A">
        <w:rPr>
          <w:rFonts w:asciiTheme="minorBidi" w:hAnsiTheme="minorBidi" w:cstheme="minorBidi"/>
          <w:b/>
          <w:bCs/>
          <w:color w:val="2736E9"/>
          <w:sz w:val="22"/>
          <w:szCs w:val="22"/>
          <w:u w:val="single"/>
        </w:rPr>
        <w:fldChar w:fldCharType="end"/>
      </w:r>
      <w:r w:rsidRPr="00BD666A">
        <w:rPr>
          <w:rFonts w:asciiTheme="minorBidi" w:hAnsiTheme="minorBidi" w:cstheme="minorBidi"/>
          <w:b/>
          <w:bCs/>
          <w:color w:val="2736E9"/>
          <w:sz w:val="22"/>
          <w:szCs w:val="22"/>
        </w:rPr>
        <w:fldChar w:fldCharType="begin"/>
      </w:r>
      <w:r w:rsidR="001D0357" w:rsidRPr="00BD666A">
        <w:rPr>
          <w:rFonts w:asciiTheme="minorBidi" w:hAnsiTheme="minorBidi" w:cstheme="minorBidi"/>
          <w:b/>
          <w:bCs/>
          <w:color w:val="2736E9"/>
          <w:sz w:val="22"/>
          <w:szCs w:val="22"/>
        </w:rPr>
        <w:instrText xml:space="preserve"> TOC \p " " \h \z \t "cneva2;1" </w:instrText>
      </w:r>
      <w:r w:rsidRPr="00BD666A">
        <w:rPr>
          <w:rFonts w:asciiTheme="minorBidi" w:hAnsiTheme="minorBidi" w:cstheme="minorBidi"/>
          <w:b/>
          <w:bCs/>
          <w:color w:val="2736E9"/>
          <w:sz w:val="22"/>
          <w:szCs w:val="22"/>
        </w:rPr>
        <w:fldChar w:fldCharType="separate"/>
      </w:r>
      <w:hyperlink w:anchor="_Toc432053" w:history="1">
        <w:r w:rsidR="001D0357" w:rsidRPr="00BD666A">
          <w:rPr>
            <w:rStyle w:val="Lienhypertexte"/>
            <w:rFonts w:asciiTheme="minorBidi" w:hAnsiTheme="minorBidi" w:cstheme="minorBidi"/>
            <w:b/>
            <w:bCs/>
            <w:color w:val="2736E9"/>
            <w:sz w:val="22"/>
            <w:szCs w:val="22"/>
          </w:rPr>
          <w:t>CANEVAS DE DEMANDE DE FINANCEMENT D’UN PROJET  DE THESE DE DOCTORAT</w:t>
        </w:r>
      </w:hyperlink>
    </w:p>
    <w:p w:rsidR="001D0357" w:rsidRDefault="00552AD6" w:rsidP="001D0357">
      <w:pPr>
        <w:pStyle w:val="Default"/>
        <w:ind w:left="284" w:right="142"/>
        <w:jc w:val="center"/>
        <w:rPr>
          <w:noProof/>
        </w:rPr>
      </w:pPr>
      <w:r w:rsidRPr="00BD666A">
        <w:rPr>
          <w:rFonts w:asciiTheme="minorBidi" w:hAnsiTheme="minorBidi" w:cstheme="minorBidi"/>
          <w:b/>
          <w:bCs/>
          <w:color w:val="2736E9"/>
          <w:sz w:val="22"/>
          <w:szCs w:val="22"/>
        </w:rPr>
        <w:fldChar w:fldCharType="end"/>
      </w:r>
      <w:r>
        <w:rPr>
          <w:rFonts w:asciiTheme="minorBidi" w:hAnsiTheme="minorBidi" w:cstheme="minorBidi"/>
          <w:b/>
          <w:bCs/>
          <w:color w:val="2736E9"/>
          <w:sz w:val="22"/>
          <w:szCs w:val="22"/>
        </w:rPr>
        <w:fldChar w:fldCharType="begin"/>
      </w:r>
      <w:r w:rsidR="001D0357">
        <w:rPr>
          <w:rFonts w:asciiTheme="minorBidi" w:hAnsiTheme="minorBidi" w:cstheme="minorBidi"/>
          <w:b/>
          <w:bCs/>
          <w:color w:val="2736E9"/>
          <w:sz w:val="22"/>
          <w:szCs w:val="22"/>
        </w:rPr>
        <w:instrText xml:space="preserve"> TOC \p " " \h \z \t "canvas3;1" </w:instrText>
      </w:r>
      <w:r>
        <w:rPr>
          <w:rFonts w:asciiTheme="minorBidi" w:hAnsiTheme="minorBidi" w:cstheme="minorBidi"/>
          <w:b/>
          <w:bCs/>
          <w:color w:val="2736E9"/>
          <w:sz w:val="22"/>
          <w:szCs w:val="22"/>
        </w:rPr>
        <w:fldChar w:fldCharType="separate"/>
      </w:r>
    </w:p>
    <w:p w:rsidR="001D0357" w:rsidRDefault="00552AD6" w:rsidP="000858BB">
      <w:pPr>
        <w:pStyle w:val="Default"/>
        <w:ind w:left="284" w:right="142"/>
        <w:jc w:val="center"/>
        <w:rPr>
          <w:sz w:val="23"/>
          <w:szCs w:val="23"/>
        </w:rPr>
      </w:pPr>
      <w:r>
        <w:rPr>
          <w:rFonts w:asciiTheme="minorBidi" w:hAnsiTheme="minorBidi" w:cstheme="minorBidi"/>
          <w:b/>
          <w:bCs/>
          <w:color w:val="2736E9"/>
          <w:sz w:val="22"/>
          <w:szCs w:val="22"/>
        </w:rPr>
        <w:fldChar w:fldCharType="end"/>
      </w:r>
    </w:p>
    <w:p w:rsidR="001D0357" w:rsidRDefault="001D0357" w:rsidP="001D0357">
      <w:pPr>
        <w:pStyle w:val="Default"/>
        <w:ind w:left="284" w:right="142"/>
        <w:jc w:val="both"/>
        <w:rPr>
          <w:sz w:val="23"/>
          <w:szCs w:val="23"/>
        </w:rPr>
      </w:pPr>
      <w:r>
        <w:rPr>
          <w:b/>
          <w:bCs/>
          <w:sz w:val="23"/>
          <w:szCs w:val="23"/>
        </w:rPr>
        <w:t xml:space="preserve">1- Canevas de demande de budget de recherche par objectifs </w:t>
      </w:r>
    </w:p>
    <w:p w:rsidR="001D0357" w:rsidRDefault="001D0357" w:rsidP="001D0357">
      <w:pPr>
        <w:pStyle w:val="Default"/>
        <w:ind w:left="284" w:right="142"/>
        <w:jc w:val="both"/>
        <w:rPr>
          <w:sz w:val="23"/>
          <w:szCs w:val="23"/>
        </w:rPr>
      </w:pPr>
    </w:p>
    <w:p w:rsidR="001D0357" w:rsidRDefault="001D0357" w:rsidP="001D0357">
      <w:pPr>
        <w:pStyle w:val="Default"/>
        <w:ind w:left="284" w:right="142"/>
        <w:jc w:val="both"/>
        <w:rPr>
          <w:sz w:val="23"/>
          <w:szCs w:val="23"/>
        </w:rPr>
      </w:pPr>
      <w:r>
        <w:rPr>
          <w:sz w:val="23"/>
          <w:szCs w:val="23"/>
        </w:rPr>
        <w:t xml:space="preserve">Le renseignement de ce canevas est obligatoire : ce canevas permet de définir les objectifs des budgets demandés. </w:t>
      </w:r>
    </w:p>
    <w:p w:rsidR="001D0357" w:rsidRDefault="001D0357" w:rsidP="001D0357">
      <w:pPr>
        <w:pStyle w:val="Default"/>
        <w:ind w:left="284" w:right="142"/>
        <w:jc w:val="both"/>
        <w:rPr>
          <w:sz w:val="23"/>
          <w:szCs w:val="23"/>
        </w:rPr>
      </w:pPr>
      <w:r>
        <w:rPr>
          <w:sz w:val="23"/>
          <w:szCs w:val="23"/>
        </w:rPr>
        <w:t xml:space="preserve">Le canevas comporte une première page qui renferme des renseignements d’ordre général qui doit être obligatoirement renseignée </w:t>
      </w:r>
    </w:p>
    <w:p w:rsidR="001D0357" w:rsidRDefault="001D0357" w:rsidP="001D0357">
      <w:pPr>
        <w:pStyle w:val="Default"/>
        <w:ind w:left="284" w:right="142"/>
        <w:jc w:val="both"/>
        <w:rPr>
          <w:sz w:val="23"/>
          <w:szCs w:val="23"/>
        </w:rPr>
      </w:pPr>
    </w:p>
    <w:p w:rsidR="001D0357" w:rsidRDefault="001D0357" w:rsidP="001D0357">
      <w:pPr>
        <w:pStyle w:val="Default"/>
        <w:ind w:left="284" w:right="142"/>
        <w:jc w:val="both"/>
        <w:rPr>
          <w:sz w:val="23"/>
          <w:szCs w:val="23"/>
        </w:rPr>
      </w:pPr>
      <w:r>
        <w:rPr>
          <w:sz w:val="23"/>
          <w:szCs w:val="23"/>
        </w:rPr>
        <w:t>Ce canevas est subdivis</w:t>
      </w:r>
      <w:r w:rsidR="0009353A">
        <w:rPr>
          <w:sz w:val="23"/>
          <w:szCs w:val="23"/>
        </w:rPr>
        <w:t xml:space="preserve">é en trois sections : A, B </w:t>
      </w:r>
    </w:p>
    <w:p w:rsidR="001D0357" w:rsidRDefault="001D0357" w:rsidP="001D0357">
      <w:pPr>
        <w:pStyle w:val="Default"/>
        <w:spacing w:after="167"/>
        <w:ind w:left="284" w:right="142"/>
        <w:jc w:val="both"/>
        <w:rPr>
          <w:sz w:val="23"/>
          <w:szCs w:val="23"/>
        </w:rPr>
      </w:pPr>
      <w:r>
        <w:rPr>
          <w:sz w:val="23"/>
          <w:szCs w:val="23"/>
        </w:rPr>
        <w:t xml:space="preserve">- La section A concerne les projets en cours au niveau du laboratoire. Elle doit être obligatoirement renseignée </w:t>
      </w:r>
    </w:p>
    <w:p w:rsidR="001D0357" w:rsidRDefault="001D0357" w:rsidP="0009353A">
      <w:pPr>
        <w:pStyle w:val="Default"/>
        <w:spacing w:after="167"/>
        <w:ind w:left="284" w:right="142"/>
        <w:jc w:val="both"/>
        <w:rPr>
          <w:sz w:val="23"/>
          <w:szCs w:val="23"/>
        </w:rPr>
      </w:pPr>
      <w:r>
        <w:rPr>
          <w:sz w:val="23"/>
          <w:szCs w:val="23"/>
        </w:rPr>
        <w:t xml:space="preserve">- La section B concerne </w:t>
      </w:r>
      <w:r>
        <w:rPr>
          <w:b/>
          <w:bCs/>
          <w:sz w:val="23"/>
          <w:szCs w:val="23"/>
        </w:rPr>
        <w:t>le soutien à la formation doctorale</w:t>
      </w:r>
      <w:r>
        <w:rPr>
          <w:sz w:val="23"/>
          <w:szCs w:val="23"/>
        </w:rPr>
        <w:t xml:space="preserve">. Il s’agit du </w:t>
      </w:r>
      <w:r>
        <w:rPr>
          <w:b/>
          <w:bCs/>
          <w:sz w:val="23"/>
          <w:szCs w:val="23"/>
        </w:rPr>
        <w:t xml:space="preserve">premier objectif. </w:t>
      </w:r>
      <w:r>
        <w:rPr>
          <w:sz w:val="23"/>
          <w:szCs w:val="23"/>
        </w:rPr>
        <w:t xml:space="preserve">Si le laboratoire souhaite le financement de projets de thèses de doctorat, cette section doit être renseignée et toutes les pièces justificatives demandées (annexe 4) doivent être jointes, et ce pour chaque doctorant. </w:t>
      </w:r>
    </w:p>
    <w:p w:rsidR="001D0357" w:rsidRDefault="001D0357" w:rsidP="001D0357">
      <w:pPr>
        <w:pStyle w:val="Default"/>
        <w:ind w:left="284" w:right="142"/>
        <w:jc w:val="both"/>
        <w:rPr>
          <w:sz w:val="23"/>
          <w:szCs w:val="23"/>
        </w:rPr>
      </w:pPr>
      <w:r>
        <w:t>2</w:t>
      </w:r>
      <w:r>
        <w:rPr>
          <w:sz w:val="23"/>
          <w:szCs w:val="23"/>
        </w:rPr>
        <w:t xml:space="preserve">Les visas et avis de la dernière page sont obligatoires pour la recevabilité du dossier </w:t>
      </w:r>
    </w:p>
    <w:p w:rsidR="001D0357" w:rsidRDefault="001D0357" w:rsidP="001D0357">
      <w:pPr>
        <w:pStyle w:val="Default"/>
        <w:ind w:left="284" w:right="142"/>
        <w:jc w:val="both"/>
        <w:rPr>
          <w:sz w:val="23"/>
          <w:szCs w:val="23"/>
        </w:rPr>
      </w:pPr>
    </w:p>
    <w:p w:rsidR="001D0357" w:rsidRPr="00A93140" w:rsidRDefault="001D0357" w:rsidP="001D0357">
      <w:pPr>
        <w:ind w:right="142" w:firstLine="0"/>
        <w:rPr>
          <w:b/>
          <w:bCs/>
          <w:color w:val="2736E9"/>
          <w:sz w:val="24"/>
          <w:szCs w:val="24"/>
        </w:rPr>
      </w:pPr>
      <w:r w:rsidRPr="00A93140">
        <w:rPr>
          <w:b/>
          <w:bCs/>
          <w:color w:val="2736E9"/>
          <w:sz w:val="24"/>
          <w:szCs w:val="24"/>
        </w:rPr>
        <w:t>Très Important : Joindre le PV du conseil de laboratoire (avec liste de présence) attestant l’adoption de la demande du budget du laboratoire.</w:t>
      </w:r>
    </w:p>
    <w:p w:rsidR="001D0357" w:rsidRDefault="001D0357" w:rsidP="001D0357">
      <w:pPr>
        <w:pStyle w:val="Default"/>
        <w:ind w:left="284" w:right="142"/>
        <w:jc w:val="both"/>
        <w:rPr>
          <w:sz w:val="23"/>
          <w:szCs w:val="23"/>
        </w:rPr>
      </w:pPr>
    </w:p>
    <w:p w:rsidR="001D0357" w:rsidRDefault="001D0357" w:rsidP="001D0357">
      <w:pPr>
        <w:pStyle w:val="Default"/>
        <w:ind w:left="284" w:right="142"/>
        <w:jc w:val="both"/>
        <w:rPr>
          <w:sz w:val="23"/>
          <w:szCs w:val="23"/>
        </w:rPr>
      </w:pPr>
      <w:r w:rsidRPr="00397F63">
        <w:rPr>
          <w:b/>
          <w:bCs/>
          <w:sz w:val="23"/>
          <w:szCs w:val="23"/>
        </w:rPr>
        <w:t>Les pièces suivantes sont également obligatoires</w:t>
      </w:r>
      <w:r>
        <w:rPr>
          <w:sz w:val="23"/>
          <w:szCs w:val="23"/>
        </w:rPr>
        <w:t xml:space="preserve"> : </w:t>
      </w:r>
    </w:p>
    <w:p w:rsidR="001D0357" w:rsidRDefault="001D0357" w:rsidP="001D0357">
      <w:pPr>
        <w:pStyle w:val="Default"/>
        <w:ind w:left="284" w:right="142"/>
        <w:jc w:val="both"/>
        <w:rPr>
          <w:sz w:val="23"/>
          <w:szCs w:val="23"/>
        </w:rPr>
      </w:pPr>
      <w:r>
        <w:rPr>
          <w:sz w:val="23"/>
          <w:szCs w:val="23"/>
        </w:rPr>
        <w:t xml:space="preserve">- L’arrêté de nomination du directeur du laboratoire </w:t>
      </w:r>
    </w:p>
    <w:p w:rsidR="001D0357" w:rsidRDefault="001D0357" w:rsidP="001D0357">
      <w:pPr>
        <w:pStyle w:val="Default"/>
        <w:ind w:left="284" w:right="142"/>
        <w:jc w:val="both"/>
        <w:rPr>
          <w:sz w:val="23"/>
          <w:szCs w:val="23"/>
        </w:rPr>
      </w:pPr>
      <w:r>
        <w:rPr>
          <w:sz w:val="23"/>
          <w:szCs w:val="23"/>
        </w:rPr>
        <w:t xml:space="preserve">- L’arrêté de création du laboratoire. </w:t>
      </w:r>
    </w:p>
    <w:p w:rsidR="001D0357" w:rsidRDefault="001D0357" w:rsidP="001D0357">
      <w:pPr>
        <w:pStyle w:val="Default"/>
        <w:ind w:left="284" w:right="142"/>
        <w:jc w:val="both"/>
        <w:rPr>
          <w:sz w:val="23"/>
          <w:szCs w:val="23"/>
        </w:rPr>
      </w:pPr>
      <w:r>
        <w:rPr>
          <w:sz w:val="23"/>
          <w:szCs w:val="23"/>
        </w:rPr>
        <w:t xml:space="preserve">- La situation financière du laboratoire. </w:t>
      </w:r>
    </w:p>
    <w:p w:rsidR="001D0357" w:rsidRDefault="001D0357" w:rsidP="001D0357">
      <w:pPr>
        <w:pStyle w:val="Default"/>
        <w:ind w:left="284" w:right="142"/>
        <w:jc w:val="both"/>
        <w:rPr>
          <w:b/>
          <w:bCs/>
          <w:sz w:val="23"/>
          <w:szCs w:val="23"/>
        </w:rPr>
      </w:pPr>
    </w:p>
    <w:p w:rsidR="001D0357" w:rsidRDefault="001D0357" w:rsidP="001D0357">
      <w:pPr>
        <w:pStyle w:val="Default"/>
        <w:ind w:left="284" w:right="142"/>
        <w:jc w:val="both"/>
        <w:rPr>
          <w:b/>
          <w:bCs/>
          <w:sz w:val="23"/>
          <w:szCs w:val="23"/>
        </w:rPr>
      </w:pPr>
    </w:p>
    <w:p w:rsidR="001D0357" w:rsidRDefault="001D0357" w:rsidP="001D0357">
      <w:pPr>
        <w:pStyle w:val="Default"/>
        <w:ind w:left="284" w:right="142"/>
        <w:jc w:val="both"/>
        <w:rPr>
          <w:b/>
          <w:bCs/>
          <w:sz w:val="23"/>
          <w:szCs w:val="23"/>
        </w:rPr>
      </w:pPr>
    </w:p>
    <w:p w:rsidR="001D0357" w:rsidRDefault="001D0357" w:rsidP="001D0357">
      <w:pPr>
        <w:pStyle w:val="Default"/>
        <w:ind w:left="284" w:right="142"/>
        <w:jc w:val="both"/>
        <w:rPr>
          <w:sz w:val="23"/>
          <w:szCs w:val="23"/>
        </w:rPr>
      </w:pPr>
      <w:r>
        <w:rPr>
          <w:b/>
          <w:bCs/>
          <w:sz w:val="23"/>
          <w:szCs w:val="23"/>
        </w:rPr>
        <w:t xml:space="preserve">2- Canevas de demande de financement d’un projet de thèse de doctorat </w:t>
      </w:r>
    </w:p>
    <w:p w:rsidR="001D0357" w:rsidRDefault="001D0357" w:rsidP="001D0357">
      <w:pPr>
        <w:pStyle w:val="Default"/>
        <w:ind w:left="284" w:right="142"/>
        <w:jc w:val="both"/>
        <w:rPr>
          <w:sz w:val="23"/>
          <w:szCs w:val="23"/>
        </w:rPr>
      </w:pPr>
    </w:p>
    <w:p w:rsidR="001D0357" w:rsidRDefault="001D0357" w:rsidP="001D0357">
      <w:pPr>
        <w:pStyle w:val="Default"/>
        <w:ind w:left="284" w:right="142"/>
        <w:jc w:val="both"/>
        <w:rPr>
          <w:sz w:val="23"/>
          <w:szCs w:val="23"/>
        </w:rPr>
      </w:pPr>
      <w:r>
        <w:rPr>
          <w:sz w:val="23"/>
          <w:szCs w:val="23"/>
        </w:rPr>
        <w:t xml:space="preserve">Ce deuxième canevas doit être rempli si le laboratoire a renseigné la section B du premier canevas (section du premier objectif). Ce canevas comprend quatre pages qui doivent être dûment remplies. Nous insistons particulièrement sur l’importance de la dernière page du </w:t>
      </w:r>
      <w:r>
        <w:rPr>
          <w:sz w:val="23"/>
          <w:szCs w:val="23"/>
        </w:rPr>
        <w:lastRenderedPageBreak/>
        <w:t>canevas (ARTICLE 7-8</w:t>
      </w:r>
      <w:proofErr w:type="gramStart"/>
      <w:r>
        <w:rPr>
          <w:sz w:val="23"/>
          <w:szCs w:val="23"/>
        </w:rPr>
        <w:t>)(</w:t>
      </w:r>
      <w:proofErr w:type="gramEnd"/>
      <w:r>
        <w:rPr>
          <w:sz w:val="23"/>
          <w:szCs w:val="23"/>
        </w:rPr>
        <w:t>celle contenant les signatures du doctorant, du directeur de thèse et du directeur du laboratoire) :</w:t>
      </w:r>
    </w:p>
    <w:p w:rsidR="001D0357" w:rsidRDefault="001D0357" w:rsidP="001D0357">
      <w:pPr>
        <w:pStyle w:val="Default"/>
        <w:ind w:left="284" w:right="142"/>
        <w:jc w:val="both"/>
        <w:rPr>
          <w:sz w:val="23"/>
          <w:szCs w:val="23"/>
        </w:rPr>
      </w:pPr>
    </w:p>
    <w:p w:rsidR="001D0357" w:rsidRDefault="001D0357" w:rsidP="001D0357">
      <w:pPr>
        <w:pStyle w:val="Default"/>
        <w:ind w:left="284" w:right="142"/>
        <w:jc w:val="both"/>
        <w:rPr>
          <w:sz w:val="23"/>
          <w:szCs w:val="23"/>
        </w:rPr>
      </w:pPr>
      <w:r>
        <w:rPr>
          <w:b/>
          <w:bCs/>
          <w:sz w:val="23"/>
          <w:szCs w:val="23"/>
        </w:rPr>
        <w:t xml:space="preserve">Important </w:t>
      </w:r>
      <w:r>
        <w:rPr>
          <w:sz w:val="23"/>
          <w:szCs w:val="23"/>
        </w:rPr>
        <w:t>: ce canevas concerne un seul doctorant ; il y aura autant de canevas à renseigner que de doctorants à financer.</w:t>
      </w:r>
    </w:p>
    <w:p w:rsidR="001D0357" w:rsidRDefault="001D0357" w:rsidP="001D0357">
      <w:pPr>
        <w:pStyle w:val="Default"/>
        <w:ind w:left="284" w:right="142"/>
        <w:jc w:val="both"/>
        <w:rPr>
          <w:sz w:val="23"/>
          <w:szCs w:val="23"/>
        </w:rPr>
      </w:pPr>
    </w:p>
    <w:p w:rsidR="001D0357" w:rsidRDefault="001D0357" w:rsidP="001D0357">
      <w:pPr>
        <w:pStyle w:val="Default"/>
        <w:jc w:val="both"/>
      </w:pPr>
    </w:p>
    <w:p w:rsidR="001D0357" w:rsidRDefault="001D0357" w:rsidP="0009353A">
      <w:pPr>
        <w:pStyle w:val="Default"/>
        <w:ind w:right="283"/>
        <w:jc w:val="both"/>
        <w:rPr>
          <w:b/>
          <w:bCs/>
          <w:sz w:val="23"/>
          <w:szCs w:val="23"/>
        </w:rPr>
      </w:pPr>
    </w:p>
    <w:p w:rsidR="001D0357" w:rsidRDefault="001D0357" w:rsidP="001D0357">
      <w:pPr>
        <w:pStyle w:val="Default"/>
        <w:ind w:left="284" w:right="283"/>
        <w:jc w:val="both"/>
        <w:rPr>
          <w:b/>
          <w:bCs/>
          <w:sz w:val="23"/>
          <w:szCs w:val="23"/>
        </w:rPr>
      </w:pPr>
    </w:p>
    <w:p w:rsidR="001D0357" w:rsidRPr="00CC1842" w:rsidRDefault="001D0357" w:rsidP="001D0357">
      <w:pPr>
        <w:pStyle w:val="Default"/>
        <w:ind w:left="284" w:right="283"/>
        <w:jc w:val="both"/>
        <w:rPr>
          <w:sz w:val="23"/>
          <w:szCs w:val="23"/>
          <w:u w:val="single"/>
        </w:rPr>
      </w:pPr>
      <w:r>
        <w:rPr>
          <w:b/>
          <w:bCs/>
          <w:sz w:val="23"/>
          <w:szCs w:val="23"/>
        </w:rPr>
        <w:t xml:space="preserve">II- </w:t>
      </w:r>
      <w:r w:rsidRPr="00CC1842">
        <w:rPr>
          <w:b/>
          <w:bCs/>
          <w:sz w:val="23"/>
          <w:szCs w:val="23"/>
          <w:u w:val="single"/>
        </w:rPr>
        <w:t xml:space="preserve">DEPOT DES CANEVAS </w:t>
      </w:r>
    </w:p>
    <w:p w:rsidR="001D0357" w:rsidRDefault="001D0357" w:rsidP="001D0357">
      <w:pPr>
        <w:pStyle w:val="Default"/>
        <w:ind w:left="284" w:right="283"/>
        <w:jc w:val="both"/>
        <w:rPr>
          <w:sz w:val="23"/>
          <w:szCs w:val="23"/>
        </w:rPr>
      </w:pPr>
    </w:p>
    <w:p w:rsidR="001D0357" w:rsidRDefault="001D0357" w:rsidP="001D0357">
      <w:pPr>
        <w:tabs>
          <w:tab w:val="right" w:pos="9072"/>
        </w:tabs>
        <w:ind w:right="283"/>
        <w:rPr>
          <w:rFonts w:ascii="Book Antiqua" w:hAnsi="Book Antiqua"/>
          <w:b/>
          <w:bCs/>
        </w:rPr>
      </w:pPr>
      <w:r>
        <w:rPr>
          <w:sz w:val="23"/>
          <w:szCs w:val="23"/>
        </w:rPr>
        <w:t>Les canevas renseignés et toutes les pièces justificatives demandées doivent être déposés en version imprimée et en version CD au siège de l’</w:t>
      </w:r>
      <w:r w:rsidRPr="008340B1">
        <w:rPr>
          <w:rFonts w:ascii="Book Antiqua" w:hAnsi="Book Antiqua"/>
        </w:rPr>
        <w:t>(</w:t>
      </w:r>
      <w:r w:rsidRPr="008340B1">
        <w:rPr>
          <w:rFonts w:ascii="Book Antiqua" w:hAnsi="Book Antiqua"/>
          <w:b/>
          <w:bCs/>
        </w:rPr>
        <w:t>ATRSS</w:t>
      </w:r>
      <w:r w:rsidRPr="008340B1">
        <w:rPr>
          <w:rFonts w:ascii="Book Antiqua" w:hAnsi="Book Antiqua"/>
        </w:rPr>
        <w:t>)</w:t>
      </w:r>
      <w:r>
        <w:rPr>
          <w:sz w:val="23"/>
          <w:szCs w:val="23"/>
        </w:rPr>
        <w:t xml:space="preserve"> (</w:t>
      </w:r>
      <w:r w:rsidRPr="008340B1">
        <w:rPr>
          <w:rFonts w:ascii="Book Antiqua" w:hAnsi="Book Antiqua"/>
          <w:i/>
          <w:iCs/>
        </w:rPr>
        <w:t>L’Agence Thématique de Recherche  en Sciences de la Santé</w:t>
      </w:r>
      <w:r w:rsidRPr="008340B1">
        <w:rPr>
          <w:rFonts w:ascii="Book Antiqua" w:hAnsi="Book Antiqua"/>
        </w:rPr>
        <w:t xml:space="preserve"> (</w:t>
      </w:r>
      <w:r w:rsidRPr="008340B1">
        <w:rPr>
          <w:rFonts w:ascii="Book Antiqua" w:hAnsi="Book Antiqua"/>
          <w:b/>
          <w:bCs/>
        </w:rPr>
        <w:t>ATRSS</w:t>
      </w:r>
      <w:proofErr w:type="gramStart"/>
      <w:r w:rsidRPr="008340B1">
        <w:rPr>
          <w:rFonts w:ascii="Book Antiqua" w:hAnsi="Book Antiqua"/>
        </w:rPr>
        <w:t>)</w:t>
      </w:r>
      <w:r w:rsidRPr="008340B1">
        <w:rPr>
          <w:rFonts w:ascii="Book Antiqua" w:hAnsi="Book Antiqua"/>
          <w:b/>
          <w:bCs/>
        </w:rPr>
        <w:t>Cité</w:t>
      </w:r>
      <w:proofErr w:type="gramEnd"/>
      <w:r w:rsidRPr="008340B1">
        <w:rPr>
          <w:rFonts w:ascii="Book Antiqua" w:hAnsi="Book Antiqua"/>
          <w:b/>
          <w:bCs/>
        </w:rPr>
        <w:t xml:space="preserve"> du chercheur (Ex : IAP), route de l’aéroport Ahmed </w:t>
      </w:r>
      <w:proofErr w:type="spellStart"/>
      <w:r w:rsidRPr="008340B1">
        <w:rPr>
          <w:rFonts w:ascii="Book Antiqua" w:hAnsi="Book Antiqua"/>
          <w:b/>
          <w:bCs/>
        </w:rPr>
        <w:t>Benbella</w:t>
      </w:r>
      <w:r>
        <w:rPr>
          <w:rFonts w:ascii="Book Antiqua" w:hAnsi="Book Antiqua"/>
          <w:b/>
          <w:bCs/>
        </w:rPr>
        <w:t>Es-Sénia,Oran</w:t>
      </w:r>
      <w:proofErr w:type="spellEnd"/>
      <w:r>
        <w:rPr>
          <w:rFonts w:ascii="Book Antiqua" w:hAnsi="Book Antiqua"/>
          <w:b/>
          <w:bCs/>
        </w:rPr>
        <w:t>).</w:t>
      </w:r>
    </w:p>
    <w:p w:rsidR="001D0357" w:rsidRPr="003966D5" w:rsidRDefault="001D0357" w:rsidP="001D0357">
      <w:pPr>
        <w:tabs>
          <w:tab w:val="right" w:pos="9072"/>
        </w:tabs>
        <w:ind w:right="283"/>
        <w:rPr>
          <w:rFonts w:ascii="Book Antiqua" w:hAnsi="Book Antiqua"/>
          <w:b/>
          <w:bCs/>
        </w:rPr>
      </w:pPr>
    </w:p>
    <w:p w:rsidR="001D0357" w:rsidRPr="00CC1842" w:rsidRDefault="001D0357" w:rsidP="001D0357">
      <w:pPr>
        <w:pStyle w:val="Default"/>
        <w:ind w:left="284" w:right="283"/>
        <w:jc w:val="both"/>
        <w:rPr>
          <w:u w:val="single"/>
        </w:rPr>
      </w:pPr>
      <w:r w:rsidRPr="00CC1842">
        <w:rPr>
          <w:b/>
          <w:bCs/>
          <w:sz w:val="23"/>
          <w:szCs w:val="23"/>
          <w:u w:val="single"/>
        </w:rPr>
        <w:t xml:space="preserve">III- RESERVES SUR LE DOSSIER A FOURNIR </w:t>
      </w:r>
    </w:p>
    <w:p w:rsidR="001D0357" w:rsidRDefault="001D0357" w:rsidP="001D0357">
      <w:pPr>
        <w:pStyle w:val="Default"/>
        <w:ind w:left="284" w:right="283"/>
        <w:jc w:val="both"/>
        <w:rPr>
          <w:sz w:val="23"/>
          <w:szCs w:val="23"/>
        </w:rPr>
      </w:pPr>
    </w:p>
    <w:p w:rsidR="001D0357" w:rsidRPr="002B4779" w:rsidRDefault="001D0357" w:rsidP="001D0357">
      <w:pPr>
        <w:pStyle w:val="Default"/>
        <w:ind w:left="284" w:right="283" w:firstLine="284"/>
        <w:jc w:val="both"/>
        <w:rPr>
          <w:b/>
          <w:bCs/>
          <w:noProof/>
          <w:color w:val="2736E9"/>
        </w:rPr>
      </w:pPr>
      <w:r>
        <w:rPr>
          <w:sz w:val="23"/>
          <w:szCs w:val="23"/>
        </w:rPr>
        <w:t>Une fois le dossier reçu, une liste des réserves est établie, et est envoyée au Directeur du laboratoire pour lever les réserves. Toutes les pièces manquantes sont cochées dans une grille, selon le modèle sous dessous (</w:t>
      </w:r>
      <w:r w:rsidR="00552AD6" w:rsidRPr="002B4779">
        <w:rPr>
          <w:b/>
          <w:bCs/>
          <w:color w:val="2736E9"/>
          <w:sz w:val="23"/>
          <w:szCs w:val="23"/>
        </w:rPr>
        <w:fldChar w:fldCharType="begin"/>
      </w:r>
      <w:r w:rsidRPr="002B4779">
        <w:rPr>
          <w:b/>
          <w:bCs/>
          <w:color w:val="2736E9"/>
          <w:sz w:val="23"/>
          <w:szCs w:val="23"/>
        </w:rPr>
        <w:instrText xml:space="preserve"> TOC \p " " \h \z \t "annexe1;1" </w:instrText>
      </w:r>
      <w:r w:rsidR="00552AD6" w:rsidRPr="002B4779">
        <w:rPr>
          <w:b/>
          <w:bCs/>
          <w:color w:val="2736E9"/>
          <w:sz w:val="23"/>
          <w:szCs w:val="23"/>
        </w:rPr>
        <w:fldChar w:fldCharType="separate"/>
      </w:r>
      <w:hyperlink w:anchor="_Toc433125" w:history="1">
        <w:r w:rsidRPr="002B4779">
          <w:rPr>
            <w:rStyle w:val="Lienhypertexte"/>
            <w:b/>
            <w:bCs/>
            <w:noProof/>
            <w:color w:val="2736E9"/>
            <w:sz w:val="22"/>
            <w:szCs w:val="22"/>
          </w:rPr>
          <w:t xml:space="preserve">ANNEXE  </w:t>
        </w:r>
      </w:hyperlink>
      <w:r w:rsidRPr="002B4779">
        <w:rPr>
          <w:rStyle w:val="Lienhypertexte"/>
          <w:b/>
          <w:bCs/>
          <w:noProof/>
          <w:color w:val="2736E9"/>
          <w:sz w:val="22"/>
          <w:szCs w:val="22"/>
        </w:rPr>
        <w:t>)</w:t>
      </w:r>
    </w:p>
    <w:p w:rsidR="001D0357" w:rsidRDefault="00552AD6" w:rsidP="001D0357">
      <w:pPr>
        <w:pStyle w:val="Default"/>
        <w:ind w:right="283"/>
        <w:jc w:val="both"/>
        <w:rPr>
          <w:sz w:val="23"/>
          <w:szCs w:val="23"/>
        </w:rPr>
      </w:pPr>
      <w:r w:rsidRPr="002B4779">
        <w:rPr>
          <w:b/>
          <w:bCs/>
          <w:color w:val="2736E9"/>
          <w:sz w:val="23"/>
          <w:szCs w:val="23"/>
        </w:rPr>
        <w:fldChar w:fldCharType="end"/>
      </w:r>
    </w:p>
    <w:p w:rsidR="001D0357" w:rsidRDefault="001D0357" w:rsidP="001D0357">
      <w:pPr>
        <w:pStyle w:val="Default"/>
        <w:ind w:left="284" w:right="283"/>
        <w:jc w:val="both"/>
        <w:rPr>
          <w:sz w:val="23"/>
          <w:szCs w:val="23"/>
        </w:rPr>
      </w:pPr>
      <w:r>
        <w:rPr>
          <w:b/>
          <w:bCs/>
          <w:sz w:val="23"/>
          <w:szCs w:val="23"/>
        </w:rPr>
        <w:t xml:space="preserve">IV- </w:t>
      </w:r>
      <w:r w:rsidRPr="00CC1842">
        <w:rPr>
          <w:b/>
          <w:bCs/>
          <w:sz w:val="23"/>
          <w:szCs w:val="23"/>
          <w:u w:val="single"/>
        </w:rPr>
        <w:t>AUDITION DU LABORATOIRE</w:t>
      </w:r>
    </w:p>
    <w:p w:rsidR="001D0357" w:rsidRDefault="001D0357" w:rsidP="001D0357">
      <w:pPr>
        <w:pStyle w:val="Default"/>
        <w:ind w:left="284" w:right="283"/>
        <w:jc w:val="both"/>
        <w:rPr>
          <w:sz w:val="23"/>
          <w:szCs w:val="23"/>
        </w:rPr>
      </w:pPr>
    </w:p>
    <w:p w:rsidR="001D0357" w:rsidRDefault="001D0357" w:rsidP="001D0357">
      <w:pPr>
        <w:pStyle w:val="Default"/>
        <w:ind w:left="284" w:right="283"/>
        <w:jc w:val="both"/>
        <w:rPr>
          <w:sz w:val="23"/>
          <w:szCs w:val="23"/>
        </w:rPr>
      </w:pPr>
      <w:r>
        <w:rPr>
          <w:sz w:val="23"/>
          <w:szCs w:val="23"/>
        </w:rPr>
        <w:t xml:space="preserve">Une invitation est envoyée au directeur du laboratoire et à trois experts scientifiques (du même domaine du laboratoire) pour l’audition qui se déroulera au siège de l’Agence. A cet effet, le laboratoire doit préparer un power point, de 15 minutes environ, qui portera sur une présentation du laboratoire, les productions scientifiques et les projets soumis pour expertise. Le débat sera ensuite ouvert. Les experts renseigneront des grilles d’évaluation des projets soumis. Une fois le PV de l’audition établi, deux résultats sont possibles : </w:t>
      </w:r>
    </w:p>
    <w:p w:rsidR="001D0357" w:rsidRDefault="001D0357" w:rsidP="001D0357">
      <w:pPr>
        <w:pStyle w:val="Default"/>
        <w:ind w:left="284" w:right="283"/>
        <w:jc w:val="both"/>
        <w:rPr>
          <w:sz w:val="23"/>
          <w:szCs w:val="23"/>
        </w:rPr>
      </w:pPr>
    </w:p>
    <w:p w:rsidR="001D0357" w:rsidRDefault="001D0357" w:rsidP="001D0357">
      <w:pPr>
        <w:pStyle w:val="Default"/>
        <w:spacing w:after="164"/>
        <w:ind w:left="284" w:right="283"/>
        <w:jc w:val="both"/>
        <w:rPr>
          <w:sz w:val="23"/>
          <w:szCs w:val="23"/>
        </w:rPr>
      </w:pPr>
      <w:r>
        <w:rPr>
          <w:sz w:val="23"/>
          <w:szCs w:val="23"/>
        </w:rPr>
        <w:t xml:space="preserve">- </w:t>
      </w:r>
      <w:r>
        <w:rPr>
          <w:b/>
          <w:bCs/>
          <w:sz w:val="23"/>
          <w:szCs w:val="23"/>
        </w:rPr>
        <w:t xml:space="preserve">Négatif : </w:t>
      </w:r>
      <w:r>
        <w:rPr>
          <w:sz w:val="23"/>
          <w:szCs w:val="23"/>
        </w:rPr>
        <w:t xml:space="preserve">le laboratoire ne doit pas être financé </w:t>
      </w:r>
    </w:p>
    <w:p w:rsidR="001D0357" w:rsidRDefault="001D0357" w:rsidP="001D0357">
      <w:pPr>
        <w:pStyle w:val="Default"/>
        <w:ind w:left="284" w:right="283"/>
        <w:jc w:val="both"/>
        <w:rPr>
          <w:sz w:val="23"/>
          <w:szCs w:val="23"/>
        </w:rPr>
      </w:pPr>
      <w:r>
        <w:rPr>
          <w:sz w:val="23"/>
          <w:szCs w:val="23"/>
        </w:rPr>
        <w:t xml:space="preserve">- </w:t>
      </w:r>
      <w:r>
        <w:rPr>
          <w:b/>
          <w:bCs/>
          <w:sz w:val="23"/>
          <w:szCs w:val="23"/>
        </w:rPr>
        <w:t xml:space="preserve">Positif : </w:t>
      </w:r>
      <w:r>
        <w:rPr>
          <w:sz w:val="23"/>
          <w:szCs w:val="23"/>
        </w:rPr>
        <w:t xml:space="preserve">le laboratoire doit être financé </w:t>
      </w:r>
    </w:p>
    <w:p w:rsidR="001D0357" w:rsidRDefault="001D0357" w:rsidP="001D0357">
      <w:pPr>
        <w:pStyle w:val="Default"/>
        <w:ind w:left="284" w:right="283"/>
        <w:jc w:val="both"/>
        <w:rPr>
          <w:sz w:val="23"/>
          <w:szCs w:val="23"/>
        </w:rPr>
      </w:pPr>
    </w:p>
    <w:p w:rsidR="001D0357" w:rsidRDefault="001D0357" w:rsidP="001D0357">
      <w:pPr>
        <w:pStyle w:val="Default"/>
        <w:ind w:left="284" w:right="283"/>
        <w:jc w:val="both"/>
        <w:rPr>
          <w:sz w:val="23"/>
          <w:szCs w:val="23"/>
        </w:rPr>
      </w:pPr>
      <w:r>
        <w:rPr>
          <w:sz w:val="23"/>
          <w:szCs w:val="23"/>
        </w:rPr>
        <w:t xml:space="preserve">Un compte rendu de l’audition sera rédigé et transmis à la DGRSDT. </w:t>
      </w:r>
    </w:p>
    <w:p w:rsidR="001D0357" w:rsidRDefault="001D0357" w:rsidP="001D0357">
      <w:pPr>
        <w:pStyle w:val="Default"/>
        <w:ind w:left="284" w:right="283"/>
        <w:jc w:val="both"/>
        <w:rPr>
          <w:sz w:val="23"/>
          <w:szCs w:val="23"/>
        </w:rPr>
      </w:pPr>
    </w:p>
    <w:p w:rsidR="001D0357" w:rsidRPr="00A4345F" w:rsidRDefault="001D0357" w:rsidP="001D0357">
      <w:pPr>
        <w:pStyle w:val="Default"/>
        <w:ind w:left="284" w:right="283"/>
        <w:jc w:val="both"/>
        <w:rPr>
          <w:b/>
          <w:bCs/>
          <w:sz w:val="23"/>
          <w:szCs w:val="23"/>
        </w:rPr>
      </w:pPr>
      <w:r w:rsidRPr="00A4345F">
        <w:rPr>
          <w:b/>
          <w:bCs/>
          <w:sz w:val="23"/>
          <w:szCs w:val="23"/>
        </w:rPr>
        <w:t>Important : La présence du directeur du laboratoire, des chefs d’équipes et de tous les porteurs de projets est obligatoire le jour de l’audition.</w:t>
      </w:r>
    </w:p>
    <w:p w:rsidR="001D0357" w:rsidRDefault="001D0357" w:rsidP="001D0357">
      <w:pPr>
        <w:pStyle w:val="Default"/>
        <w:ind w:left="284" w:right="283"/>
        <w:jc w:val="both"/>
        <w:rPr>
          <w:b/>
          <w:bCs/>
          <w:sz w:val="23"/>
          <w:szCs w:val="23"/>
        </w:rPr>
      </w:pPr>
    </w:p>
    <w:p w:rsidR="001D0357" w:rsidRPr="00CC1842" w:rsidRDefault="001D0357" w:rsidP="001D0357">
      <w:pPr>
        <w:pStyle w:val="Default"/>
        <w:ind w:left="426" w:right="425"/>
        <w:jc w:val="both"/>
        <w:rPr>
          <w:b/>
          <w:bCs/>
          <w:sz w:val="23"/>
          <w:szCs w:val="23"/>
          <w:u w:val="single"/>
        </w:rPr>
      </w:pPr>
      <w:r>
        <w:rPr>
          <w:b/>
          <w:bCs/>
          <w:sz w:val="23"/>
          <w:szCs w:val="23"/>
        </w:rPr>
        <w:t xml:space="preserve">V- </w:t>
      </w:r>
      <w:r w:rsidRPr="00CC1842">
        <w:rPr>
          <w:b/>
          <w:bCs/>
          <w:sz w:val="23"/>
          <w:szCs w:val="23"/>
          <w:u w:val="single"/>
        </w:rPr>
        <w:t xml:space="preserve">FINANCEMENT </w:t>
      </w:r>
    </w:p>
    <w:p w:rsidR="001D0357" w:rsidRDefault="001D0357" w:rsidP="001D0357">
      <w:pPr>
        <w:pStyle w:val="Default"/>
        <w:ind w:left="426" w:right="425"/>
        <w:jc w:val="both"/>
        <w:rPr>
          <w:sz w:val="23"/>
          <w:szCs w:val="23"/>
        </w:rPr>
      </w:pPr>
    </w:p>
    <w:p w:rsidR="001D0357" w:rsidRDefault="001D0357" w:rsidP="001D0357">
      <w:pPr>
        <w:pStyle w:val="Default"/>
        <w:numPr>
          <w:ilvl w:val="0"/>
          <w:numId w:val="2"/>
        </w:numPr>
        <w:ind w:left="426" w:right="425"/>
        <w:jc w:val="both"/>
        <w:rPr>
          <w:b/>
          <w:bCs/>
          <w:sz w:val="23"/>
          <w:szCs w:val="23"/>
        </w:rPr>
      </w:pPr>
      <w:r>
        <w:rPr>
          <w:b/>
          <w:bCs/>
          <w:sz w:val="23"/>
          <w:szCs w:val="23"/>
        </w:rPr>
        <w:t xml:space="preserve">Financement de thèse doctorant </w:t>
      </w:r>
    </w:p>
    <w:p w:rsidR="001D0357" w:rsidRDefault="001D0357" w:rsidP="001D0357">
      <w:pPr>
        <w:pStyle w:val="Default"/>
        <w:ind w:left="426" w:right="425"/>
        <w:jc w:val="both"/>
        <w:rPr>
          <w:sz w:val="23"/>
          <w:szCs w:val="23"/>
        </w:rPr>
      </w:pPr>
    </w:p>
    <w:p w:rsidR="001D0357" w:rsidRDefault="001D0357" w:rsidP="001D0357">
      <w:pPr>
        <w:pStyle w:val="Default"/>
        <w:ind w:left="426" w:right="425"/>
        <w:jc w:val="both"/>
        <w:rPr>
          <w:sz w:val="23"/>
          <w:szCs w:val="23"/>
        </w:rPr>
      </w:pPr>
      <w:r>
        <w:rPr>
          <w:sz w:val="23"/>
          <w:szCs w:val="23"/>
        </w:rPr>
        <w:t xml:space="preserve">- Le département financement de l’agence établit un état des doctorants (plusieurs doctorants peuvent figurer dans un seul état) et les transmettent, par courrier et courrier électronique, à la direction des finances DAF, afin qu’ils établissent les contrats. </w:t>
      </w:r>
    </w:p>
    <w:p w:rsidR="001D0357" w:rsidRDefault="001D0357" w:rsidP="001D0357">
      <w:pPr>
        <w:pStyle w:val="Default"/>
        <w:ind w:left="426" w:right="425"/>
        <w:jc w:val="both"/>
      </w:pPr>
    </w:p>
    <w:p w:rsidR="001D0357" w:rsidRDefault="001D0357" w:rsidP="0009353A">
      <w:pPr>
        <w:pStyle w:val="Default"/>
        <w:spacing w:after="167"/>
        <w:ind w:left="426" w:right="425"/>
        <w:jc w:val="both"/>
        <w:rPr>
          <w:sz w:val="23"/>
          <w:szCs w:val="23"/>
        </w:rPr>
      </w:pPr>
      <w:r>
        <w:rPr>
          <w:sz w:val="23"/>
          <w:szCs w:val="23"/>
        </w:rPr>
        <w:t>- la direction des finances DAF-DGRSDT- envoie les contrats si</w:t>
      </w:r>
      <w:r w:rsidR="0009353A">
        <w:rPr>
          <w:sz w:val="23"/>
          <w:szCs w:val="23"/>
        </w:rPr>
        <w:t>gnés et visés à l</w:t>
      </w:r>
      <w:r>
        <w:rPr>
          <w:sz w:val="23"/>
          <w:szCs w:val="23"/>
        </w:rPr>
        <w:t>’établissement</w:t>
      </w:r>
      <w:r w:rsidR="0009353A">
        <w:rPr>
          <w:sz w:val="23"/>
          <w:szCs w:val="23"/>
        </w:rPr>
        <w:t xml:space="preserve"> de rattachement</w:t>
      </w:r>
      <w:r>
        <w:rPr>
          <w:sz w:val="23"/>
          <w:szCs w:val="23"/>
        </w:rPr>
        <w:t xml:space="preserve">. </w:t>
      </w:r>
    </w:p>
    <w:p w:rsidR="001D0357" w:rsidRDefault="001D0357" w:rsidP="001D0357">
      <w:pPr>
        <w:pStyle w:val="Default"/>
        <w:spacing w:after="167"/>
        <w:ind w:left="426" w:right="425"/>
        <w:jc w:val="both"/>
        <w:rPr>
          <w:sz w:val="23"/>
          <w:szCs w:val="23"/>
        </w:rPr>
      </w:pPr>
      <w:r>
        <w:rPr>
          <w:sz w:val="23"/>
          <w:szCs w:val="23"/>
        </w:rPr>
        <w:t xml:space="preserve">- La DGRSDT prend en charge le financement du doctorant. </w:t>
      </w:r>
    </w:p>
    <w:p w:rsidR="001D0357" w:rsidRDefault="001D0357" w:rsidP="001D0357">
      <w:pPr>
        <w:pStyle w:val="Default"/>
        <w:ind w:left="426" w:right="425"/>
        <w:jc w:val="both"/>
        <w:rPr>
          <w:sz w:val="23"/>
          <w:szCs w:val="23"/>
        </w:rPr>
      </w:pPr>
      <w:r>
        <w:rPr>
          <w:b/>
          <w:bCs/>
          <w:sz w:val="23"/>
          <w:szCs w:val="23"/>
        </w:rPr>
        <w:lastRenderedPageBreak/>
        <w:t xml:space="preserve">IMPORTANT </w:t>
      </w:r>
    </w:p>
    <w:p w:rsidR="001D0357" w:rsidRPr="003E6C02" w:rsidRDefault="001D0357" w:rsidP="001D0357">
      <w:pPr>
        <w:pStyle w:val="Default"/>
        <w:numPr>
          <w:ilvl w:val="0"/>
          <w:numId w:val="1"/>
        </w:numPr>
        <w:ind w:left="426" w:right="425"/>
        <w:jc w:val="both"/>
        <w:rPr>
          <w:sz w:val="23"/>
          <w:szCs w:val="23"/>
        </w:rPr>
      </w:pPr>
      <w:r w:rsidRPr="003E6C02">
        <w:rPr>
          <w:sz w:val="23"/>
          <w:szCs w:val="23"/>
        </w:rPr>
        <w:t xml:space="preserve">Le canevas de demande de budget de recherche par objectifs doit être établi et transmis à l’agence chaque année </w:t>
      </w:r>
    </w:p>
    <w:p w:rsidR="001D0357" w:rsidRDefault="001D0357" w:rsidP="001D0357">
      <w:pPr>
        <w:pStyle w:val="Default"/>
        <w:numPr>
          <w:ilvl w:val="0"/>
          <w:numId w:val="1"/>
        </w:numPr>
        <w:ind w:left="426" w:right="425"/>
        <w:jc w:val="both"/>
        <w:rPr>
          <w:sz w:val="23"/>
          <w:szCs w:val="23"/>
        </w:rPr>
      </w:pPr>
      <w:r>
        <w:rPr>
          <w:sz w:val="23"/>
          <w:szCs w:val="23"/>
        </w:rPr>
        <w:t xml:space="preserve">Le canevas de financement des projets de thèses de doctorat doit être renseigné et transmis à </w:t>
      </w:r>
    </w:p>
    <w:p w:rsidR="001D0357" w:rsidRDefault="001D0357" w:rsidP="001D0357">
      <w:pPr>
        <w:pStyle w:val="Default"/>
        <w:numPr>
          <w:ilvl w:val="0"/>
          <w:numId w:val="1"/>
        </w:numPr>
        <w:ind w:left="426" w:right="425"/>
        <w:jc w:val="both"/>
        <w:rPr>
          <w:sz w:val="23"/>
          <w:szCs w:val="23"/>
        </w:rPr>
      </w:pPr>
      <w:r>
        <w:rPr>
          <w:sz w:val="23"/>
          <w:szCs w:val="23"/>
        </w:rPr>
        <w:t xml:space="preserve">l’agence, chaque année (4 ans maximum). </w:t>
      </w:r>
    </w:p>
    <w:p w:rsidR="001D0357" w:rsidRPr="003E6C02" w:rsidRDefault="001D0357" w:rsidP="001D0357">
      <w:pPr>
        <w:pStyle w:val="Default"/>
        <w:numPr>
          <w:ilvl w:val="0"/>
          <w:numId w:val="1"/>
        </w:numPr>
        <w:ind w:left="426" w:right="425"/>
        <w:jc w:val="both"/>
        <w:rPr>
          <w:sz w:val="23"/>
          <w:szCs w:val="23"/>
        </w:rPr>
      </w:pPr>
      <w:r>
        <w:rPr>
          <w:sz w:val="23"/>
          <w:szCs w:val="23"/>
        </w:rPr>
        <w:t xml:space="preserve">Les laboratoires doivent transmettre la situation financière chaque année </w:t>
      </w:r>
      <w:r w:rsidRPr="003E6C02">
        <w:rPr>
          <w:sz w:val="23"/>
          <w:szCs w:val="23"/>
        </w:rPr>
        <w:t xml:space="preserve">Le financement des projets de recherche à impact socio économique se fait par tranches annuelles. </w:t>
      </w:r>
    </w:p>
    <w:p w:rsidR="001D0357" w:rsidRPr="003E6C02" w:rsidRDefault="001D0357" w:rsidP="001D0357">
      <w:pPr>
        <w:pStyle w:val="Default"/>
        <w:numPr>
          <w:ilvl w:val="0"/>
          <w:numId w:val="1"/>
        </w:numPr>
        <w:ind w:left="426" w:right="425"/>
        <w:jc w:val="both"/>
        <w:rPr>
          <w:sz w:val="23"/>
          <w:szCs w:val="23"/>
        </w:rPr>
      </w:pPr>
      <w:r>
        <w:rPr>
          <w:sz w:val="23"/>
          <w:szCs w:val="23"/>
        </w:rPr>
        <w:t xml:space="preserve">Si le projet présente un bilan annuel négatif, l’agence peut procéder à l’arrêt immédiat du </w:t>
      </w:r>
      <w:r w:rsidRPr="003E6C02">
        <w:rPr>
          <w:sz w:val="23"/>
          <w:szCs w:val="23"/>
        </w:rPr>
        <w:t xml:space="preserve">financement </w:t>
      </w:r>
    </w:p>
    <w:p w:rsidR="001D0357" w:rsidRDefault="001D0357" w:rsidP="001D0357">
      <w:pPr>
        <w:pStyle w:val="Default"/>
        <w:numPr>
          <w:ilvl w:val="0"/>
          <w:numId w:val="1"/>
        </w:numPr>
        <w:ind w:left="426" w:right="425"/>
        <w:jc w:val="both"/>
        <w:rPr>
          <w:sz w:val="23"/>
          <w:szCs w:val="23"/>
        </w:rPr>
      </w:pPr>
      <w:r>
        <w:rPr>
          <w:sz w:val="23"/>
          <w:szCs w:val="23"/>
        </w:rPr>
        <w:t xml:space="preserve">Le contrat du </w:t>
      </w:r>
      <w:r w:rsidR="00872E66">
        <w:rPr>
          <w:sz w:val="23"/>
          <w:szCs w:val="23"/>
        </w:rPr>
        <w:t>doctorant est valable une année.</w:t>
      </w:r>
    </w:p>
    <w:p w:rsidR="001D0357" w:rsidRDefault="001D0357" w:rsidP="001D0357">
      <w:pPr>
        <w:pStyle w:val="Default"/>
        <w:ind w:left="426" w:right="425"/>
        <w:jc w:val="both"/>
        <w:rPr>
          <w:b/>
          <w:bCs/>
          <w:i/>
          <w:iCs/>
          <w:sz w:val="22"/>
          <w:szCs w:val="22"/>
        </w:rPr>
      </w:pPr>
    </w:p>
    <w:p w:rsidR="001D0357" w:rsidRDefault="001D0357" w:rsidP="001D0357">
      <w:pPr>
        <w:pStyle w:val="Default"/>
        <w:jc w:val="both"/>
        <w:rPr>
          <w:b/>
          <w:bCs/>
          <w:i/>
          <w:iCs/>
          <w:sz w:val="22"/>
          <w:szCs w:val="22"/>
        </w:rPr>
      </w:pPr>
    </w:p>
    <w:p w:rsidR="001D0357" w:rsidRDefault="001D0357" w:rsidP="001D0357">
      <w:pPr>
        <w:pStyle w:val="Default"/>
        <w:jc w:val="both"/>
        <w:rPr>
          <w:b/>
          <w:bCs/>
          <w:i/>
          <w:iCs/>
          <w:sz w:val="22"/>
          <w:szCs w:val="22"/>
        </w:rPr>
      </w:pPr>
    </w:p>
    <w:p w:rsidR="001D0357" w:rsidRDefault="001D0357" w:rsidP="001D0357">
      <w:pPr>
        <w:pStyle w:val="Default"/>
        <w:jc w:val="both"/>
        <w:rPr>
          <w:b/>
          <w:bCs/>
          <w:i/>
          <w:iCs/>
          <w:sz w:val="22"/>
          <w:szCs w:val="22"/>
        </w:rPr>
      </w:pPr>
    </w:p>
    <w:p w:rsidR="001D0357" w:rsidRDefault="001D0357" w:rsidP="001D0357">
      <w:pPr>
        <w:pStyle w:val="Default"/>
        <w:jc w:val="both"/>
        <w:rPr>
          <w:b/>
          <w:bCs/>
          <w:i/>
          <w:iCs/>
          <w:sz w:val="22"/>
          <w:szCs w:val="22"/>
        </w:rPr>
      </w:pPr>
    </w:p>
    <w:p w:rsidR="001D0357" w:rsidRDefault="001D0357" w:rsidP="001D0357">
      <w:pPr>
        <w:pStyle w:val="Default"/>
        <w:jc w:val="both"/>
        <w:rPr>
          <w:b/>
          <w:bCs/>
          <w:i/>
          <w:iCs/>
          <w:sz w:val="22"/>
          <w:szCs w:val="22"/>
        </w:rPr>
      </w:pPr>
    </w:p>
    <w:p w:rsidR="001D0357" w:rsidRPr="00A93140" w:rsidRDefault="001D0357" w:rsidP="001D0357">
      <w:pPr>
        <w:pStyle w:val="Default"/>
        <w:jc w:val="center"/>
        <w:rPr>
          <w:b/>
          <w:bCs/>
          <w:i/>
          <w:iCs/>
          <w:color w:val="2736E9"/>
          <w:sz w:val="28"/>
          <w:szCs w:val="28"/>
        </w:rPr>
      </w:pPr>
      <w:r w:rsidRPr="00A93140">
        <w:rPr>
          <w:b/>
          <w:bCs/>
          <w:i/>
          <w:iCs/>
          <w:color w:val="2736E9"/>
          <w:sz w:val="28"/>
          <w:szCs w:val="28"/>
        </w:rPr>
        <w:t>Pour toute information, merci de nous contacter :</w:t>
      </w:r>
    </w:p>
    <w:p w:rsidR="001D0357" w:rsidRPr="00A93140" w:rsidRDefault="001D0357" w:rsidP="001D0357">
      <w:pPr>
        <w:pStyle w:val="Default"/>
        <w:jc w:val="center"/>
        <w:rPr>
          <w:b/>
          <w:bCs/>
          <w:i/>
          <w:iCs/>
          <w:color w:val="2736E9"/>
          <w:sz w:val="28"/>
          <w:szCs w:val="28"/>
        </w:rPr>
      </w:pPr>
    </w:p>
    <w:p w:rsidR="001D0357" w:rsidRPr="00A93140" w:rsidRDefault="001D0357" w:rsidP="00872E66">
      <w:pPr>
        <w:pStyle w:val="Default"/>
        <w:jc w:val="center"/>
        <w:rPr>
          <w:b/>
          <w:bCs/>
          <w:i/>
          <w:iCs/>
          <w:color w:val="2736E9"/>
          <w:sz w:val="28"/>
          <w:szCs w:val="28"/>
        </w:rPr>
      </w:pPr>
      <w:r w:rsidRPr="00A93140">
        <w:rPr>
          <w:b/>
          <w:bCs/>
          <w:i/>
          <w:iCs/>
          <w:color w:val="2736E9"/>
          <w:sz w:val="28"/>
          <w:szCs w:val="28"/>
        </w:rPr>
        <w:t xml:space="preserve">Département de la programmation des projets de recherche : </w:t>
      </w:r>
      <w:r w:rsidR="00872E66">
        <w:rPr>
          <w:b/>
          <w:bCs/>
          <w:i/>
          <w:iCs/>
          <w:color w:val="2736E9"/>
          <w:sz w:val="28"/>
          <w:szCs w:val="28"/>
        </w:rPr>
        <w:t>041-519-196</w:t>
      </w:r>
    </w:p>
    <w:p w:rsidR="001D0357" w:rsidRPr="00A93140" w:rsidRDefault="001D0357" w:rsidP="001D0357">
      <w:pPr>
        <w:pStyle w:val="Default"/>
        <w:jc w:val="center"/>
        <w:rPr>
          <w:b/>
          <w:bCs/>
          <w:i/>
          <w:iCs/>
          <w:color w:val="2736E9"/>
          <w:sz w:val="28"/>
          <w:szCs w:val="28"/>
        </w:rPr>
      </w:pPr>
      <w:r w:rsidRPr="00A93140">
        <w:rPr>
          <w:b/>
          <w:bCs/>
          <w:i/>
          <w:iCs/>
          <w:color w:val="2736E9"/>
          <w:sz w:val="28"/>
          <w:szCs w:val="28"/>
        </w:rPr>
        <w:t>Département du financement des proj</w:t>
      </w:r>
      <w:r w:rsidR="00872E66">
        <w:rPr>
          <w:b/>
          <w:bCs/>
          <w:i/>
          <w:iCs/>
          <w:color w:val="2736E9"/>
          <w:sz w:val="28"/>
          <w:szCs w:val="28"/>
        </w:rPr>
        <w:t>ets de recherche : 041-519-198</w:t>
      </w:r>
    </w:p>
    <w:p w:rsidR="00380BD0" w:rsidRDefault="00380BD0"/>
    <w:sectPr w:rsidR="00380BD0" w:rsidSect="00380BD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B40294"/>
    <w:multiLevelType w:val="hybridMultilevel"/>
    <w:tmpl w:val="04CEC6F6"/>
    <w:lvl w:ilvl="0" w:tplc="040C000F">
      <w:start w:val="1"/>
      <w:numFmt w:val="decimal"/>
      <w:lvlText w:val="%1."/>
      <w:lvlJc w:val="left"/>
      <w:pPr>
        <w:ind w:left="502" w:hanging="360"/>
      </w:pPr>
      <w:rPr>
        <w:rFonts w:hint="default"/>
        <w:b w:val="0"/>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1">
    <w:nsid w:val="407D3422"/>
    <w:multiLevelType w:val="hybridMultilevel"/>
    <w:tmpl w:val="6D1A052C"/>
    <w:lvl w:ilvl="0" w:tplc="02C0CAE0">
      <w:start w:val="1"/>
      <w:numFmt w:val="bullet"/>
      <w:lvlText w:val=""/>
      <w:lvlJc w:val="left"/>
      <w:pPr>
        <w:ind w:left="720" w:hanging="360"/>
      </w:pPr>
      <w:rPr>
        <w:rFonts w:ascii="Wingdings" w:hAnsi="Wingdings" w:hint="default"/>
      </w:rPr>
    </w:lvl>
    <w:lvl w:ilvl="1" w:tplc="97B0D8FE" w:tentative="1">
      <w:start w:val="1"/>
      <w:numFmt w:val="bullet"/>
      <w:lvlText w:val="o"/>
      <w:lvlJc w:val="left"/>
      <w:pPr>
        <w:ind w:left="1440" w:hanging="360"/>
      </w:pPr>
      <w:rPr>
        <w:rFonts w:ascii="Courier New" w:hAnsi="Courier New" w:cs="Courier New" w:hint="default"/>
      </w:rPr>
    </w:lvl>
    <w:lvl w:ilvl="2" w:tplc="410858DA" w:tentative="1">
      <w:start w:val="1"/>
      <w:numFmt w:val="bullet"/>
      <w:lvlText w:val=""/>
      <w:lvlJc w:val="left"/>
      <w:pPr>
        <w:ind w:left="2160" w:hanging="360"/>
      </w:pPr>
      <w:rPr>
        <w:rFonts w:ascii="Wingdings" w:hAnsi="Wingdings" w:hint="default"/>
      </w:rPr>
    </w:lvl>
    <w:lvl w:ilvl="3" w:tplc="3F423F6C" w:tentative="1">
      <w:start w:val="1"/>
      <w:numFmt w:val="bullet"/>
      <w:lvlText w:val=""/>
      <w:lvlJc w:val="left"/>
      <w:pPr>
        <w:ind w:left="2880" w:hanging="360"/>
      </w:pPr>
      <w:rPr>
        <w:rFonts w:ascii="Symbol" w:hAnsi="Symbol" w:hint="default"/>
      </w:rPr>
    </w:lvl>
    <w:lvl w:ilvl="4" w:tplc="843683F8" w:tentative="1">
      <w:start w:val="1"/>
      <w:numFmt w:val="bullet"/>
      <w:lvlText w:val="o"/>
      <w:lvlJc w:val="left"/>
      <w:pPr>
        <w:ind w:left="3600" w:hanging="360"/>
      </w:pPr>
      <w:rPr>
        <w:rFonts w:ascii="Courier New" w:hAnsi="Courier New" w:cs="Courier New" w:hint="default"/>
      </w:rPr>
    </w:lvl>
    <w:lvl w:ilvl="5" w:tplc="67EA0954" w:tentative="1">
      <w:start w:val="1"/>
      <w:numFmt w:val="bullet"/>
      <w:lvlText w:val=""/>
      <w:lvlJc w:val="left"/>
      <w:pPr>
        <w:ind w:left="4320" w:hanging="360"/>
      </w:pPr>
      <w:rPr>
        <w:rFonts w:ascii="Wingdings" w:hAnsi="Wingdings" w:hint="default"/>
      </w:rPr>
    </w:lvl>
    <w:lvl w:ilvl="6" w:tplc="1A78D5B4" w:tentative="1">
      <w:start w:val="1"/>
      <w:numFmt w:val="bullet"/>
      <w:lvlText w:val=""/>
      <w:lvlJc w:val="left"/>
      <w:pPr>
        <w:ind w:left="5040" w:hanging="360"/>
      </w:pPr>
      <w:rPr>
        <w:rFonts w:ascii="Symbol" w:hAnsi="Symbol" w:hint="default"/>
      </w:rPr>
    </w:lvl>
    <w:lvl w:ilvl="7" w:tplc="1B5CECAA" w:tentative="1">
      <w:start w:val="1"/>
      <w:numFmt w:val="bullet"/>
      <w:lvlText w:val="o"/>
      <w:lvlJc w:val="left"/>
      <w:pPr>
        <w:ind w:left="5760" w:hanging="360"/>
      </w:pPr>
      <w:rPr>
        <w:rFonts w:ascii="Courier New" w:hAnsi="Courier New" w:cs="Courier New" w:hint="default"/>
      </w:rPr>
    </w:lvl>
    <w:lvl w:ilvl="8" w:tplc="B8148112"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D0357"/>
    <w:rsid w:val="000858BB"/>
    <w:rsid w:val="0009353A"/>
    <w:rsid w:val="000A4783"/>
    <w:rsid w:val="001D0357"/>
    <w:rsid w:val="00380BD0"/>
    <w:rsid w:val="004B58DF"/>
    <w:rsid w:val="00552AD6"/>
    <w:rsid w:val="00666BD2"/>
    <w:rsid w:val="007831C0"/>
    <w:rsid w:val="00872E66"/>
    <w:rsid w:val="00AB0613"/>
    <w:rsid w:val="00DA7BFC"/>
    <w:rsid w:val="00E3473B"/>
    <w:rsid w:val="00E70B81"/>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0357"/>
    <w:pPr>
      <w:spacing w:line="276" w:lineRule="auto"/>
      <w:ind w:left="284" w:firstLine="284"/>
      <w:jc w:val="both"/>
    </w:pPr>
    <w:rPr>
      <w:lang w:bidi="ar-DZ"/>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1D0357"/>
    <w:rPr>
      <w:color w:val="0000FF"/>
      <w:u w:val="single"/>
    </w:rPr>
  </w:style>
  <w:style w:type="paragraph" w:customStyle="1" w:styleId="Default">
    <w:name w:val="Default"/>
    <w:rsid w:val="001D0357"/>
    <w:pPr>
      <w:autoSpaceDE w:val="0"/>
      <w:autoSpaceDN w:val="0"/>
      <w:adjustRightInd w:val="0"/>
    </w:pPr>
    <w:rPr>
      <w:rFonts w:ascii="Times New Roman" w:hAnsi="Times New Roman" w:cs="Times New Roman"/>
      <w:color w:val="000000"/>
      <w:sz w:val="24"/>
      <w:szCs w:val="24"/>
    </w:rPr>
  </w:style>
  <w:style w:type="paragraph" w:styleId="TM1">
    <w:name w:val="toc 1"/>
    <w:basedOn w:val="Normal"/>
    <w:next w:val="Normal"/>
    <w:autoRedefine/>
    <w:uiPriority w:val="39"/>
    <w:unhideWhenUsed/>
    <w:rsid w:val="001D0357"/>
    <w:pPr>
      <w:tabs>
        <w:tab w:val="right" w:pos="10338"/>
      </w:tabs>
      <w:spacing w:after="100"/>
      <w:ind w:left="0" w:firstLine="0"/>
      <w:jc w:val="center"/>
    </w:pPr>
    <w:rPr>
      <w:rFonts w:asciiTheme="minorBidi" w:hAnsiTheme="minorBidi"/>
      <w:b/>
      <w:bCs/>
      <w:noProof/>
      <w:color w:val="2736E9"/>
    </w:rPr>
  </w:style>
  <w:style w:type="paragraph" w:styleId="Textedebulles">
    <w:name w:val="Balloon Text"/>
    <w:basedOn w:val="Normal"/>
    <w:link w:val="TextedebullesCar"/>
    <w:uiPriority w:val="99"/>
    <w:semiHidden/>
    <w:unhideWhenUsed/>
    <w:rsid w:val="007831C0"/>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7831C0"/>
    <w:rPr>
      <w:rFonts w:ascii="Segoe UI" w:hAnsi="Segoe UI" w:cs="Segoe UI"/>
      <w:sz w:val="18"/>
      <w:szCs w:val="18"/>
      <w:lang w:bidi="ar-DZ"/>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788</Words>
  <Characters>4339</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COMPAQ</dc:creator>
  <cp:keywords/>
  <dc:description/>
  <cp:lastModifiedBy>HP</cp:lastModifiedBy>
  <cp:revision>9</cp:revision>
  <cp:lastPrinted>2020-04-30T08:21:00Z</cp:lastPrinted>
  <dcterms:created xsi:type="dcterms:W3CDTF">2020-04-30T08:24:00Z</dcterms:created>
  <dcterms:modified xsi:type="dcterms:W3CDTF">2020-05-03T00:39:00Z</dcterms:modified>
</cp:coreProperties>
</file>